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9" w:rsidRPr="002127CF" w:rsidRDefault="006E4939" w:rsidP="00405453">
      <w:pPr>
        <w:spacing w:after="0"/>
        <w:rPr>
          <w:b/>
          <w:sz w:val="56"/>
        </w:rPr>
      </w:pPr>
      <w:bookmarkStart w:id="0" w:name="_GoBack"/>
      <w:bookmarkEnd w:id="0"/>
      <w:r w:rsidRPr="002127CF">
        <w:rPr>
          <w:b/>
          <w:sz w:val="56"/>
        </w:rPr>
        <w:t>Excel’s Golden Rule:</w:t>
      </w:r>
    </w:p>
    <w:p w:rsidR="006E4939" w:rsidRDefault="006E4939" w:rsidP="006E4939">
      <w:pPr>
        <w:pStyle w:val="ListParagraph"/>
        <w:numPr>
          <w:ilvl w:val="0"/>
          <w:numId w:val="6"/>
        </w:numPr>
      </w:pPr>
      <w:r>
        <w:t xml:space="preserve">If a formula input can change, put it into a cell and refer to it </w:t>
      </w:r>
      <w:r w:rsidR="00805F78">
        <w:t xml:space="preserve">in the formula </w:t>
      </w:r>
      <w:r>
        <w:t>with a cell reference. If it will not change, you can type it into a formula</w:t>
      </w:r>
      <w:r w:rsidR="00DA04E5">
        <w:t>. ALWAYS LABEL YOUR FORMULA INPUTS!</w:t>
      </w:r>
    </w:p>
    <w:p w:rsidR="006E4939" w:rsidRDefault="006E4939" w:rsidP="006E4939">
      <w:pPr>
        <w:pStyle w:val="ListParagraph"/>
        <w:numPr>
          <w:ilvl w:val="1"/>
          <w:numId w:val="6"/>
        </w:numPr>
      </w:pPr>
      <w:r>
        <w:t>Examples of formula inputs that can change:</w:t>
      </w:r>
    </w:p>
    <w:p w:rsidR="006E4939" w:rsidRDefault="006E4939" w:rsidP="006E4939">
      <w:pPr>
        <w:pStyle w:val="ListParagraph"/>
        <w:numPr>
          <w:ilvl w:val="2"/>
          <w:numId w:val="6"/>
        </w:numPr>
      </w:pPr>
      <w:r>
        <w:t>Tax Rates</w:t>
      </w:r>
    </w:p>
    <w:p w:rsidR="006E4939" w:rsidRDefault="006E4939" w:rsidP="006E4939">
      <w:pPr>
        <w:pStyle w:val="ListParagraph"/>
        <w:numPr>
          <w:ilvl w:val="2"/>
          <w:numId w:val="6"/>
        </w:numPr>
      </w:pPr>
      <w:r>
        <w:t>Commission Percentages</w:t>
      </w:r>
    </w:p>
    <w:p w:rsidR="006E4939" w:rsidRDefault="006E4939" w:rsidP="006E4939">
      <w:pPr>
        <w:pStyle w:val="ListParagraph"/>
        <w:numPr>
          <w:ilvl w:val="2"/>
          <w:numId w:val="6"/>
        </w:numPr>
      </w:pPr>
      <w:r>
        <w:t>Criteria for counting or adding</w:t>
      </w:r>
    </w:p>
    <w:p w:rsidR="006E4939" w:rsidRDefault="006E4939" w:rsidP="00390B77">
      <w:pPr>
        <w:pStyle w:val="ListParagraph"/>
        <w:numPr>
          <w:ilvl w:val="0"/>
          <w:numId w:val="6"/>
        </w:numPr>
      </w:pPr>
      <w:r>
        <w:t xml:space="preserve">If the formula input is </w:t>
      </w:r>
      <w:r w:rsidR="000C0079">
        <w:t>a</w:t>
      </w:r>
      <w:r>
        <w:t xml:space="preserve"> number</w:t>
      </w:r>
      <w:r w:rsidR="00390B77">
        <w:t xml:space="preserve"> and it will not change</w:t>
      </w:r>
      <w:r>
        <w:t>: type the number into the formula</w:t>
      </w:r>
      <w:r w:rsidR="000C0079">
        <w:t>.</w:t>
      </w:r>
    </w:p>
    <w:p w:rsidR="000C0079" w:rsidRDefault="000C0079" w:rsidP="000C0079">
      <w:pPr>
        <w:pStyle w:val="ListParagraph"/>
        <w:numPr>
          <w:ilvl w:val="1"/>
          <w:numId w:val="6"/>
        </w:numPr>
      </w:pPr>
      <w:r>
        <w:t>Examples of formula inputs that will NOT change:</w:t>
      </w:r>
    </w:p>
    <w:p w:rsidR="000C0079" w:rsidRDefault="000C0079" w:rsidP="000C0079">
      <w:pPr>
        <w:pStyle w:val="ListParagraph"/>
        <w:numPr>
          <w:ilvl w:val="2"/>
          <w:numId w:val="6"/>
        </w:numPr>
      </w:pPr>
      <w:r>
        <w:t>Number of months in a year: 12</w:t>
      </w:r>
    </w:p>
    <w:p w:rsidR="000C0079" w:rsidRDefault="000C0079" w:rsidP="000C0079">
      <w:pPr>
        <w:pStyle w:val="ListParagraph"/>
        <w:numPr>
          <w:ilvl w:val="2"/>
          <w:numId w:val="6"/>
        </w:numPr>
      </w:pPr>
      <w:r>
        <w:t>Number of hours in a day: 24</w:t>
      </w:r>
    </w:p>
    <w:p w:rsidR="000C0079" w:rsidRDefault="000C0079" w:rsidP="000C0079">
      <w:pPr>
        <w:pStyle w:val="ListParagraph"/>
        <w:numPr>
          <w:ilvl w:val="2"/>
          <w:numId w:val="6"/>
        </w:numPr>
      </w:pPr>
      <w:r>
        <w:t>Answers to a question like: “Yes” or “No”</w:t>
      </w:r>
    </w:p>
    <w:p w:rsidR="006E4939" w:rsidRDefault="00DA04E5" w:rsidP="00390B77">
      <w:pPr>
        <w:pStyle w:val="ListParagraph"/>
        <w:numPr>
          <w:ilvl w:val="0"/>
          <w:numId w:val="6"/>
        </w:numPr>
      </w:pPr>
      <w:r>
        <w:t>The Golden Rule not only applies to Formula Inputs, but the</w:t>
      </w:r>
      <w:r w:rsidR="006E4939">
        <w:t xml:space="preserve"> rule applies to dialog boxes also.</w:t>
      </w:r>
    </w:p>
    <w:p w:rsidR="006E4939" w:rsidRDefault="006E4939" w:rsidP="00390B77">
      <w:pPr>
        <w:pStyle w:val="ListParagraph"/>
        <w:numPr>
          <w:ilvl w:val="1"/>
          <w:numId w:val="6"/>
        </w:numPr>
      </w:pPr>
      <w:r>
        <w:t>Some examples:</w:t>
      </w:r>
    </w:p>
    <w:p w:rsidR="006E4939" w:rsidRDefault="006E4939" w:rsidP="00390B77">
      <w:pPr>
        <w:pStyle w:val="ListParagraph"/>
        <w:numPr>
          <w:ilvl w:val="2"/>
          <w:numId w:val="6"/>
        </w:numPr>
      </w:pPr>
      <w:r>
        <w:t>PivotTable dialog box</w:t>
      </w:r>
    </w:p>
    <w:p w:rsidR="006E4939" w:rsidRDefault="006E4939" w:rsidP="00390B77">
      <w:pPr>
        <w:pStyle w:val="ListParagraph"/>
        <w:numPr>
          <w:ilvl w:val="2"/>
          <w:numId w:val="6"/>
        </w:numPr>
      </w:pPr>
      <w:r>
        <w:t>Chart Source Data dialog box</w:t>
      </w:r>
    </w:p>
    <w:p w:rsidR="006E4939" w:rsidRDefault="006E4939" w:rsidP="00390B77">
      <w:pPr>
        <w:pStyle w:val="ListParagraph"/>
        <w:numPr>
          <w:ilvl w:val="2"/>
          <w:numId w:val="6"/>
        </w:numPr>
      </w:pPr>
      <w:r>
        <w:t>Conditional formatting dialog box</w:t>
      </w:r>
    </w:p>
    <w:p w:rsidR="006E4939" w:rsidRDefault="006E4939" w:rsidP="00390B77">
      <w:pPr>
        <w:pStyle w:val="ListParagraph"/>
        <w:numPr>
          <w:ilvl w:val="2"/>
          <w:numId w:val="6"/>
        </w:numPr>
      </w:pPr>
      <w:r>
        <w:t>Data Validation dialog box</w:t>
      </w:r>
    </w:p>
    <w:p w:rsidR="00CF70C8" w:rsidRDefault="00805F78" w:rsidP="002127CF">
      <w:pPr>
        <w:spacing w:after="360"/>
      </w:pPr>
      <w:r>
        <w:rPr>
          <w:noProof/>
        </w:rPr>
        <w:drawing>
          <wp:inline distT="0" distB="0" distL="0" distR="0">
            <wp:extent cx="6687047" cy="2295525"/>
            <wp:effectExtent l="0" t="3810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1763C" w:rsidRDefault="0011763C" w:rsidP="00405453">
      <w:pPr>
        <w:spacing w:after="0"/>
      </w:pPr>
      <w:r>
        <w:t>Why Excel’s Golden Rule?</w:t>
      </w:r>
    </w:p>
    <w:p w:rsidR="0011763C" w:rsidRDefault="0011763C" w:rsidP="00405453">
      <w:pPr>
        <w:pStyle w:val="ListParagraph"/>
        <w:numPr>
          <w:ilvl w:val="0"/>
          <w:numId w:val="9"/>
        </w:numPr>
        <w:spacing w:after="0" w:line="240" w:lineRule="auto"/>
      </w:pPr>
      <w:r>
        <w:t>It is easy to understand how the spreadsheet is constructed if the formula inputs are visible on the face of the spreadsheet.</w:t>
      </w:r>
    </w:p>
    <w:p w:rsidR="0011763C" w:rsidRDefault="0011763C" w:rsidP="00405453">
      <w:pPr>
        <w:pStyle w:val="ListParagraph"/>
        <w:numPr>
          <w:ilvl w:val="0"/>
          <w:numId w:val="9"/>
        </w:numPr>
        <w:spacing w:after="0" w:line="240" w:lineRule="auto"/>
      </w:pPr>
      <w:r>
        <w:t>The labels for the formula inputs indicate exactly what the formula input represents.</w:t>
      </w:r>
    </w:p>
    <w:p w:rsidR="0011763C" w:rsidRDefault="0011763C" w:rsidP="00405453">
      <w:pPr>
        <w:pStyle w:val="ListParagraph"/>
        <w:numPr>
          <w:ilvl w:val="0"/>
          <w:numId w:val="9"/>
        </w:numPr>
        <w:spacing w:after="0" w:line="240" w:lineRule="auto"/>
      </w:pPr>
      <w:r>
        <w:t>It is easy to change the formula inputs when they are listed on the face of the spreadsheet.</w:t>
      </w:r>
    </w:p>
    <w:p w:rsidR="0011763C" w:rsidRDefault="0011763C" w:rsidP="00405453">
      <w:pPr>
        <w:pStyle w:val="ListParagraph"/>
        <w:numPr>
          <w:ilvl w:val="0"/>
          <w:numId w:val="9"/>
        </w:numPr>
        <w:spacing w:after="0" w:line="240" w:lineRule="auto"/>
      </w:pPr>
      <w:r>
        <w:t>It is very hard to accurately and consistently</w:t>
      </w:r>
      <w:r w:rsidR="006802FE">
        <w:t xml:space="preserve"> change formula inputs if there are typed directly into formula, known as “hard coding” formula inputs into formulas.</w:t>
      </w:r>
    </w:p>
    <w:p w:rsidR="005072F3" w:rsidRDefault="0011763C" w:rsidP="004054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Research has shown that </w:t>
      </w:r>
      <w:r w:rsidR="005072F3">
        <w:t xml:space="preserve">one of the main causes of faulty spreadsheets is hard </w:t>
      </w:r>
      <w:r w:rsidR="005D25AC">
        <w:t>coding</w:t>
      </w:r>
      <w:r w:rsidR="005072F3">
        <w:t xml:space="preserve"> formula inputs into formulas:</w:t>
      </w:r>
      <w:r w:rsidR="005072F3">
        <w:br/>
      </w:r>
      <w:r w:rsidR="008D4B66" w:rsidRPr="008D4B66">
        <w:t>http://www.strategy-at-risk.com/2009/03/03/the-risk-of-spreadsheet-errors/</w:t>
      </w:r>
    </w:p>
    <w:p w:rsidR="0011763C" w:rsidRDefault="002127CF" w:rsidP="00405453">
      <w:pPr>
        <w:pStyle w:val="ListParagraph"/>
        <w:numPr>
          <w:ilvl w:val="0"/>
          <w:numId w:val="9"/>
        </w:numPr>
        <w:spacing w:after="0" w:line="240" w:lineRule="auto"/>
      </w:pPr>
      <w:r>
        <w:t>Because the inventors of the spreadsheet</w:t>
      </w:r>
      <w:r w:rsidR="00405453">
        <w:t xml:space="preserve">, </w:t>
      </w:r>
      <w:r w:rsidRPr="002127CF">
        <w:t xml:space="preserve">Dan </w:t>
      </w:r>
      <w:proofErr w:type="spellStart"/>
      <w:r w:rsidRPr="002127CF">
        <w:t>Bricklin</w:t>
      </w:r>
      <w:proofErr w:type="spellEnd"/>
      <w:r w:rsidRPr="002127CF">
        <w:t xml:space="preserve"> and Bob Frankston</w:t>
      </w:r>
      <w:r w:rsidR="00405453">
        <w:t xml:space="preserve">, </w:t>
      </w:r>
      <w:r>
        <w:t xml:space="preserve">intended the spreadsheet to follow </w:t>
      </w:r>
      <w:r w:rsidR="00405453">
        <w:t>Excel’s</w:t>
      </w:r>
      <w:r>
        <w:t xml:space="preserve"> Golden Rule.</w:t>
      </w:r>
    </w:p>
    <w:sectPr w:rsidR="0011763C" w:rsidSect="0011763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74" w:rsidRDefault="00231874">
      <w:pPr>
        <w:spacing w:after="0" w:line="240" w:lineRule="auto"/>
      </w:pPr>
      <w:r>
        <w:separator/>
      </w:r>
    </w:p>
  </w:endnote>
  <w:endnote w:type="continuationSeparator" w:id="0">
    <w:p w:rsidR="00231874" w:rsidRDefault="0023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A1" w:rsidRDefault="007934F6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1643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2B164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74" w:rsidRDefault="00231874">
      <w:pPr>
        <w:spacing w:after="0" w:line="240" w:lineRule="auto"/>
      </w:pPr>
      <w:r>
        <w:separator/>
      </w:r>
    </w:p>
  </w:footnote>
  <w:footnote w:type="continuationSeparator" w:id="0">
    <w:p w:rsidR="00231874" w:rsidRDefault="0023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D80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9A535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C66A76"/>
    <w:multiLevelType w:val="hybridMultilevel"/>
    <w:tmpl w:val="DC0A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2098"/>
    <w:multiLevelType w:val="multilevel"/>
    <w:tmpl w:val="6F720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none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D41E0B"/>
    <w:multiLevelType w:val="multilevel"/>
    <w:tmpl w:val="6F720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none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2B481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1A73D02"/>
    <w:multiLevelType w:val="hybridMultilevel"/>
    <w:tmpl w:val="800A614C"/>
    <w:lvl w:ilvl="0" w:tplc="0C124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C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4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8F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A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4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0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8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2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CE3DE1"/>
    <w:multiLevelType w:val="multilevel"/>
    <w:tmpl w:val="3260F0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D880327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F6"/>
    <w:rsid w:val="0007482B"/>
    <w:rsid w:val="000C0079"/>
    <w:rsid w:val="001031B2"/>
    <w:rsid w:val="0011763C"/>
    <w:rsid w:val="001327AF"/>
    <w:rsid w:val="0015203B"/>
    <w:rsid w:val="002127CF"/>
    <w:rsid w:val="00231874"/>
    <w:rsid w:val="00232442"/>
    <w:rsid w:val="0026126B"/>
    <w:rsid w:val="002B1643"/>
    <w:rsid w:val="002F6085"/>
    <w:rsid w:val="00390B77"/>
    <w:rsid w:val="00405453"/>
    <w:rsid w:val="004D489E"/>
    <w:rsid w:val="004F0498"/>
    <w:rsid w:val="005072F3"/>
    <w:rsid w:val="00525586"/>
    <w:rsid w:val="00557374"/>
    <w:rsid w:val="005804CD"/>
    <w:rsid w:val="005D25AC"/>
    <w:rsid w:val="00610E11"/>
    <w:rsid w:val="006802FE"/>
    <w:rsid w:val="006A4727"/>
    <w:rsid w:val="006D591B"/>
    <w:rsid w:val="006E4939"/>
    <w:rsid w:val="007103FD"/>
    <w:rsid w:val="007934F6"/>
    <w:rsid w:val="007D1FF2"/>
    <w:rsid w:val="00805F78"/>
    <w:rsid w:val="00847F47"/>
    <w:rsid w:val="00850E58"/>
    <w:rsid w:val="008D4B66"/>
    <w:rsid w:val="00912C9B"/>
    <w:rsid w:val="0097011E"/>
    <w:rsid w:val="00AC36CA"/>
    <w:rsid w:val="00B960B9"/>
    <w:rsid w:val="00CF70C8"/>
    <w:rsid w:val="00D115C7"/>
    <w:rsid w:val="00D90605"/>
    <w:rsid w:val="00DA04E5"/>
    <w:rsid w:val="00DC0439"/>
    <w:rsid w:val="00F135CC"/>
    <w:rsid w:val="00FB7B4E"/>
    <w:rsid w:val="00FC6A2F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8F07"/>
  <w15:chartTrackingRefBased/>
  <w15:docId w15:val="{4000DC5C-2965-4BD7-A9C6-388BE03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F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F6"/>
    <w:rPr>
      <w:rFonts w:eastAsiaTheme="minorEastAsia"/>
    </w:rPr>
  </w:style>
  <w:style w:type="paragraph" w:styleId="NoSpacing">
    <w:name w:val="No Spacing"/>
    <w:uiPriority w:val="1"/>
    <w:qFormat/>
    <w:rsid w:val="007934F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CA711B-446A-48C2-B55F-418B7E392B04}" type="doc">
      <dgm:prSet loTypeId="urn:microsoft.com/office/officeart/2008/layout/PictureAccent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3287E49C-8291-4FA5-9F47-AD4E6D4C057A}">
      <dgm:prSet phldrT="[Text]"/>
      <dgm:spPr>
        <a:solidFill>
          <a:srgbClr val="002060"/>
        </a:solidFill>
      </dgm:spPr>
      <dgm:t>
        <a:bodyPr/>
        <a:lstStyle/>
        <a:p>
          <a:r>
            <a:rPr lang="en-US"/>
            <a:t>Excel’s Golden Rule:</a:t>
          </a:r>
        </a:p>
      </dgm:t>
    </dgm:pt>
    <dgm:pt modelId="{FA137839-734C-44F9-82F9-959CA5750683}" type="parTrans" cxnId="{F11B37A2-38D6-420D-B04A-CFA9239D76C5}">
      <dgm:prSet/>
      <dgm:spPr/>
      <dgm:t>
        <a:bodyPr/>
        <a:lstStyle/>
        <a:p>
          <a:endParaRPr lang="en-US"/>
        </a:p>
      </dgm:t>
    </dgm:pt>
    <dgm:pt modelId="{7FB451A1-E27E-4F7F-9070-34FFA76E7AA1}" type="sibTrans" cxnId="{F11B37A2-38D6-420D-B04A-CFA9239D76C5}">
      <dgm:prSet/>
      <dgm:spPr/>
      <dgm:t>
        <a:bodyPr/>
        <a:lstStyle/>
        <a:p>
          <a:endParaRPr lang="en-US"/>
        </a:p>
      </dgm:t>
    </dgm:pt>
    <dgm:pt modelId="{1D89D391-22E0-4318-86F5-EA0C8BF496CC}">
      <dgm:prSet phldrT="[Text]" custT="1"/>
      <dgm:spPr>
        <a:solidFill>
          <a:srgbClr val="002060"/>
        </a:solidFill>
      </dgm:spPr>
      <dgm:t>
        <a:bodyPr/>
        <a:lstStyle/>
        <a:p>
          <a:r>
            <a:rPr lang="en-US" sz="1200"/>
            <a:t>If a formula input can change, put it into a cell and refer to it in the formula with a cell reference.</a:t>
          </a:r>
        </a:p>
      </dgm:t>
    </dgm:pt>
    <dgm:pt modelId="{CD745BA4-5607-41D7-B6EA-26CCE681F285}" type="sibTrans" cxnId="{4B42C44E-65E0-4D54-9A4C-2F7E4C5B67F1}">
      <dgm:prSet/>
      <dgm:spPr/>
      <dgm:t>
        <a:bodyPr/>
        <a:lstStyle/>
        <a:p>
          <a:endParaRPr lang="en-US"/>
        </a:p>
      </dgm:t>
    </dgm:pt>
    <dgm:pt modelId="{66352A8A-6E3A-4210-8ADD-526578B3D492}" type="parTrans" cxnId="{4B42C44E-65E0-4D54-9A4C-2F7E4C5B67F1}">
      <dgm:prSet/>
      <dgm:spPr/>
      <dgm:t>
        <a:bodyPr/>
        <a:lstStyle/>
        <a:p>
          <a:endParaRPr lang="en-US"/>
        </a:p>
      </dgm:t>
    </dgm:pt>
    <dgm:pt modelId="{F3A7C5F3-CD5C-4732-8358-EF2E00438B86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1200"/>
            <a:t>If a formula input will not change, you can type it into a formula.</a:t>
          </a:r>
        </a:p>
      </dgm:t>
    </dgm:pt>
    <dgm:pt modelId="{89E0BC53-35C4-4FC2-96E9-857EDC6E6CFF}" type="sibTrans" cxnId="{57A7E723-475C-4224-ACDA-353EEF20B67D}">
      <dgm:prSet/>
      <dgm:spPr/>
      <dgm:t>
        <a:bodyPr/>
        <a:lstStyle/>
        <a:p>
          <a:endParaRPr lang="en-US"/>
        </a:p>
      </dgm:t>
    </dgm:pt>
    <dgm:pt modelId="{F63E67A8-AD94-4CC6-8A4C-95906C21DCFE}" type="parTrans" cxnId="{57A7E723-475C-4224-ACDA-353EEF20B67D}">
      <dgm:prSet/>
      <dgm:spPr/>
      <dgm:t>
        <a:bodyPr/>
        <a:lstStyle/>
        <a:p>
          <a:endParaRPr lang="en-US"/>
        </a:p>
      </dgm:t>
    </dgm:pt>
    <dgm:pt modelId="{6A884572-3002-4381-9011-53A76BAEE0F3}">
      <dgm:prSet phldrT="[Text]" custT="1"/>
      <dgm:spPr>
        <a:solidFill>
          <a:srgbClr val="002060"/>
        </a:solidFill>
      </dgm:spPr>
      <dgm:t>
        <a:bodyPr/>
        <a:lstStyle/>
        <a:p>
          <a:r>
            <a:rPr lang="en-US" sz="1200"/>
            <a:t>Always label your formula inputs so that the formula input can be clearly understood by any user of the spreadsheet solution; by doing this we properly “document the spreadsheet solution (model).</a:t>
          </a:r>
        </a:p>
      </dgm:t>
    </dgm:pt>
    <dgm:pt modelId="{BBBE99C8-906E-4212-B769-E53B4D8892F6}" type="sibTrans" cxnId="{16010291-A691-40F1-9D54-10C6DABFFC0D}">
      <dgm:prSet/>
      <dgm:spPr/>
      <dgm:t>
        <a:bodyPr/>
        <a:lstStyle/>
        <a:p>
          <a:endParaRPr lang="en-US"/>
        </a:p>
      </dgm:t>
    </dgm:pt>
    <dgm:pt modelId="{435F2FC6-65A5-4711-A2E8-35C09E39BA2F}" type="parTrans" cxnId="{16010291-A691-40F1-9D54-10C6DABFFC0D}">
      <dgm:prSet/>
      <dgm:spPr/>
      <dgm:t>
        <a:bodyPr/>
        <a:lstStyle/>
        <a:p>
          <a:endParaRPr lang="en-US"/>
        </a:p>
      </dgm:t>
    </dgm:pt>
    <dgm:pt modelId="{1E9F2A6E-23D1-472C-A826-42E6923472FA}" type="pres">
      <dgm:prSet presAssocID="{D7CA711B-446A-48C2-B55F-418B7E392B04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B06543A4-FCE6-4B18-A1DE-F4DAB2237ADE}" type="pres">
      <dgm:prSet presAssocID="{3287E49C-8291-4FA5-9F47-AD4E6D4C057A}" presName="root" presStyleCnt="0">
        <dgm:presLayoutVars>
          <dgm:chMax/>
          <dgm:chPref val="4"/>
        </dgm:presLayoutVars>
      </dgm:prSet>
      <dgm:spPr/>
    </dgm:pt>
    <dgm:pt modelId="{C67457B5-60BF-49CD-BD8D-D14F72DA6AA7}" type="pres">
      <dgm:prSet presAssocID="{3287E49C-8291-4FA5-9F47-AD4E6D4C057A}" presName="rootComposite" presStyleCnt="0">
        <dgm:presLayoutVars/>
      </dgm:prSet>
      <dgm:spPr/>
    </dgm:pt>
    <dgm:pt modelId="{BE2AC3DF-B615-4F0A-82BD-1159F4530D03}" type="pres">
      <dgm:prSet presAssocID="{3287E49C-8291-4FA5-9F47-AD4E6D4C057A}" presName="rootText" presStyleLbl="node0" presStyleIdx="0" presStyleCnt="1">
        <dgm:presLayoutVars>
          <dgm:chMax/>
          <dgm:chPref val="4"/>
        </dgm:presLayoutVars>
      </dgm:prSet>
      <dgm:spPr/>
    </dgm:pt>
    <dgm:pt modelId="{C0AB0970-CDB0-47B7-80E6-58E194577B90}" type="pres">
      <dgm:prSet presAssocID="{3287E49C-8291-4FA5-9F47-AD4E6D4C057A}" presName="childShape" presStyleCnt="0">
        <dgm:presLayoutVars>
          <dgm:chMax val="0"/>
          <dgm:chPref val="0"/>
        </dgm:presLayoutVars>
      </dgm:prSet>
      <dgm:spPr/>
    </dgm:pt>
    <dgm:pt modelId="{74123BA9-41D6-4857-BF35-EAB35C9B4EB7}" type="pres">
      <dgm:prSet presAssocID="{1D89D391-22E0-4318-86F5-EA0C8BF496CC}" presName="childComposite" presStyleCnt="0">
        <dgm:presLayoutVars>
          <dgm:chMax val="0"/>
          <dgm:chPref val="0"/>
        </dgm:presLayoutVars>
      </dgm:prSet>
      <dgm:spPr/>
    </dgm:pt>
    <dgm:pt modelId="{5680A75F-86DE-4DE3-A9D9-F1ECAE05324F}" type="pres">
      <dgm:prSet presAssocID="{1D89D391-22E0-4318-86F5-EA0C8BF496CC}" presName="Image" presStyleLbl="node1" presStyleIdx="0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19A4D43A-DA37-4935-885E-EBEEDEBF2AB9}" type="pres">
      <dgm:prSet presAssocID="{1D89D391-22E0-4318-86F5-EA0C8BF496CC}" presName="childText" presStyleLbl="lnNode1" presStyleIdx="0" presStyleCnt="3">
        <dgm:presLayoutVars>
          <dgm:chMax val="0"/>
          <dgm:chPref val="0"/>
          <dgm:bulletEnabled val="1"/>
        </dgm:presLayoutVars>
      </dgm:prSet>
      <dgm:spPr/>
    </dgm:pt>
    <dgm:pt modelId="{0561A48E-CF9B-418C-AA21-9AFA8226F4A1}" type="pres">
      <dgm:prSet presAssocID="{F3A7C5F3-CD5C-4732-8358-EF2E00438B86}" presName="childComposite" presStyleCnt="0">
        <dgm:presLayoutVars>
          <dgm:chMax val="0"/>
          <dgm:chPref val="0"/>
        </dgm:presLayoutVars>
      </dgm:prSet>
      <dgm:spPr/>
    </dgm:pt>
    <dgm:pt modelId="{5EE670C8-2AE3-42C8-852F-EEE30C93025E}" type="pres">
      <dgm:prSet presAssocID="{F3A7C5F3-CD5C-4732-8358-EF2E00438B86}" presName="Image" presStyleLbl="node1" presStyleIdx="1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19A194F-7E57-4D3B-BF33-D7633EFC438F}" type="pres">
      <dgm:prSet presAssocID="{F3A7C5F3-CD5C-4732-8358-EF2E00438B86}" presName="childText" presStyleLbl="lnNode1" presStyleIdx="1" presStyleCnt="3">
        <dgm:presLayoutVars>
          <dgm:chMax val="0"/>
          <dgm:chPref val="0"/>
          <dgm:bulletEnabled val="1"/>
        </dgm:presLayoutVars>
      </dgm:prSet>
      <dgm:spPr/>
    </dgm:pt>
    <dgm:pt modelId="{F235A9EB-3CF6-4F17-98D2-93BE2544F123}" type="pres">
      <dgm:prSet presAssocID="{6A884572-3002-4381-9011-53A76BAEE0F3}" presName="childComposite" presStyleCnt="0">
        <dgm:presLayoutVars>
          <dgm:chMax val="0"/>
          <dgm:chPref val="0"/>
        </dgm:presLayoutVars>
      </dgm:prSet>
      <dgm:spPr/>
    </dgm:pt>
    <dgm:pt modelId="{2138CA67-92BA-43F2-B748-75A0EB34C5C0}" type="pres">
      <dgm:prSet presAssocID="{6A884572-3002-4381-9011-53A76BAEE0F3}" presName="Image" presStyleLbl="node1" presStyleIdx="2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FF7897D-FB90-41A8-BA72-ABA1404D0300}" type="pres">
      <dgm:prSet presAssocID="{6A884572-3002-4381-9011-53A76BAEE0F3}" presName="childText" presStyleLbl="ln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B3330D88-9CCD-48A0-B671-5AB2E2CDD407}" type="presOf" srcId="{D7CA711B-446A-48C2-B55F-418B7E392B04}" destId="{1E9F2A6E-23D1-472C-A826-42E6923472FA}" srcOrd="0" destOrd="0" presId="urn:microsoft.com/office/officeart/2008/layout/PictureAccentList"/>
    <dgm:cxn modelId="{365F2E40-6663-45B8-A251-D3183C6A2AE6}" type="presOf" srcId="{1D89D391-22E0-4318-86F5-EA0C8BF496CC}" destId="{19A4D43A-DA37-4935-885E-EBEEDEBF2AB9}" srcOrd="0" destOrd="0" presId="urn:microsoft.com/office/officeart/2008/layout/PictureAccentList"/>
    <dgm:cxn modelId="{16010291-A691-40F1-9D54-10C6DABFFC0D}" srcId="{3287E49C-8291-4FA5-9F47-AD4E6D4C057A}" destId="{6A884572-3002-4381-9011-53A76BAEE0F3}" srcOrd="2" destOrd="0" parTransId="{435F2FC6-65A5-4711-A2E8-35C09E39BA2F}" sibTransId="{BBBE99C8-906E-4212-B769-E53B4D8892F6}"/>
    <dgm:cxn modelId="{57A7E723-475C-4224-ACDA-353EEF20B67D}" srcId="{3287E49C-8291-4FA5-9F47-AD4E6D4C057A}" destId="{F3A7C5F3-CD5C-4732-8358-EF2E00438B86}" srcOrd="1" destOrd="0" parTransId="{F63E67A8-AD94-4CC6-8A4C-95906C21DCFE}" sibTransId="{89E0BC53-35C4-4FC2-96E9-857EDC6E6CFF}"/>
    <dgm:cxn modelId="{E2D4D7FC-1357-49D6-AC1B-B8A6801990B5}" type="presOf" srcId="{F3A7C5F3-CD5C-4732-8358-EF2E00438B86}" destId="{D19A194F-7E57-4D3B-BF33-D7633EFC438F}" srcOrd="0" destOrd="0" presId="urn:microsoft.com/office/officeart/2008/layout/PictureAccentList"/>
    <dgm:cxn modelId="{600BCD60-CB92-498C-8246-2AA0039577F7}" type="presOf" srcId="{3287E49C-8291-4FA5-9F47-AD4E6D4C057A}" destId="{BE2AC3DF-B615-4F0A-82BD-1159F4530D03}" srcOrd="0" destOrd="0" presId="urn:microsoft.com/office/officeart/2008/layout/PictureAccentList"/>
    <dgm:cxn modelId="{4B42C44E-65E0-4D54-9A4C-2F7E4C5B67F1}" srcId="{3287E49C-8291-4FA5-9F47-AD4E6D4C057A}" destId="{1D89D391-22E0-4318-86F5-EA0C8BF496CC}" srcOrd="0" destOrd="0" parTransId="{66352A8A-6E3A-4210-8ADD-526578B3D492}" sibTransId="{CD745BA4-5607-41D7-B6EA-26CCE681F285}"/>
    <dgm:cxn modelId="{F11B37A2-38D6-420D-B04A-CFA9239D76C5}" srcId="{D7CA711B-446A-48C2-B55F-418B7E392B04}" destId="{3287E49C-8291-4FA5-9F47-AD4E6D4C057A}" srcOrd="0" destOrd="0" parTransId="{FA137839-734C-44F9-82F9-959CA5750683}" sibTransId="{7FB451A1-E27E-4F7F-9070-34FFA76E7AA1}"/>
    <dgm:cxn modelId="{20DFB00E-6CBF-4A3B-A59A-54AC5489DCC1}" type="presOf" srcId="{6A884572-3002-4381-9011-53A76BAEE0F3}" destId="{0FF7897D-FB90-41A8-BA72-ABA1404D0300}" srcOrd="0" destOrd="0" presId="urn:microsoft.com/office/officeart/2008/layout/PictureAccentList"/>
    <dgm:cxn modelId="{4E3E1490-87A1-4150-9554-33B46A686528}" type="presParOf" srcId="{1E9F2A6E-23D1-472C-A826-42E6923472FA}" destId="{B06543A4-FCE6-4B18-A1DE-F4DAB2237ADE}" srcOrd="0" destOrd="0" presId="urn:microsoft.com/office/officeart/2008/layout/PictureAccentList"/>
    <dgm:cxn modelId="{474219E0-F564-4224-BC95-56128A4E1B72}" type="presParOf" srcId="{B06543A4-FCE6-4B18-A1DE-F4DAB2237ADE}" destId="{C67457B5-60BF-49CD-BD8D-D14F72DA6AA7}" srcOrd="0" destOrd="0" presId="urn:microsoft.com/office/officeart/2008/layout/PictureAccentList"/>
    <dgm:cxn modelId="{857A2F8F-C095-4412-8C2B-A0BF994562B5}" type="presParOf" srcId="{C67457B5-60BF-49CD-BD8D-D14F72DA6AA7}" destId="{BE2AC3DF-B615-4F0A-82BD-1159F4530D03}" srcOrd="0" destOrd="0" presId="urn:microsoft.com/office/officeart/2008/layout/PictureAccentList"/>
    <dgm:cxn modelId="{25A66312-0300-4B7A-BBB9-215DB2534726}" type="presParOf" srcId="{B06543A4-FCE6-4B18-A1DE-F4DAB2237ADE}" destId="{C0AB0970-CDB0-47B7-80E6-58E194577B90}" srcOrd="1" destOrd="0" presId="urn:microsoft.com/office/officeart/2008/layout/PictureAccentList"/>
    <dgm:cxn modelId="{995ADD98-1A16-49FD-9956-D75A0223CFBE}" type="presParOf" srcId="{C0AB0970-CDB0-47B7-80E6-58E194577B90}" destId="{74123BA9-41D6-4857-BF35-EAB35C9B4EB7}" srcOrd="0" destOrd="0" presId="urn:microsoft.com/office/officeart/2008/layout/PictureAccentList"/>
    <dgm:cxn modelId="{24229881-3259-4CEB-9CD0-FF10525B646C}" type="presParOf" srcId="{74123BA9-41D6-4857-BF35-EAB35C9B4EB7}" destId="{5680A75F-86DE-4DE3-A9D9-F1ECAE05324F}" srcOrd="0" destOrd="0" presId="urn:microsoft.com/office/officeart/2008/layout/PictureAccentList"/>
    <dgm:cxn modelId="{2BDA8B59-C188-4A20-B9BC-6FCE0ADF39D1}" type="presParOf" srcId="{74123BA9-41D6-4857-BF35-EAB35C9B4EB7}" destId="{19A4D43A-DA37-4935-885E-EBEEDEBF2AB9}" srcOrd="1" destOrd="0" presId="urn:microsoft.com/office/officeart/2008/layout/PictureAccentList"/>
    <dgm:cxn modelId="{62CAE99C-74C1-429C-9242-3F30CBFE7C1B}" type="presParOf" srcId="{C0AB0970-CDB0-47B7-80E6-58E194577B90}" destId="{0561A48E-CF9B-418C-AA21-9AFA8226F4A1}" srcOrd="1" destOrd="0" presId="urn:microsoft.com/office/officeart/2008/layout/PictureAccentList"/>
    <dgm:cxn modelId="{EEF27F07-C3F6-4A47-BA92-B5E2E033CA37}" type="presParOf" srcId="{0561A48E-CF9B-418C-AA21-9AFA8226F4A1}" destId="{5EE670C8-2AE3-42C8-852F-EEE30C93025E}" srcOrd="0" destOrd="0" presId="urn:microsoft.com/office/officeart/2008/layout/PictureAccentList"/>
    <dgm:cxn modelId="{A7AFD51F-A002-4158-ADDD-53886FCA97D6}" type="presParOf" srcId="{0561A48E-CF9B-418C-AA21-9AFA8226F4A1}" destId="{D19A194F-7E57-4D3B-BF33-D7633EFC438F}" srcOrd="1" destOrd="0" presId="urn:microsoft.com/office/officeart/2008/layout/PictureAccentList"/>
    <dgm:cxn modelId="{A0D04615-070B-4271-9608-57D58F31010D}" type="presParOf" srcId="{C0AB0970-CDB0-47B7-80E6-58E194577B90}" destId="{F235A9EB-3CF6-4F17-98D2-93BE2544F123}" srcOrd="2" destOrd="0" presId="urn:microsoft.com/office/officeart/2008/layout/PictureAccentList"/>
    <dgm:cxn modelId="{0CCF60A3-BFBF-4F87-939C-E2293F589063}" type="presParOf" srcId="{F235A9EB-3CF6-4F17-98D2-93BE2544F123}" destId="{2138CA67-92BA-43F2-B748-75A0EB34C5C0}" srcOrd="0" destOrd="0" presId="urn:microsoft.com/office/officeart/2008/layout/PictureAccentList"/>
    <dgm:cxn modelId="{F1A96E36-6E27-4A3B-AA8A-F25CF18CEB2B}" type="presParOf" srcId="{F235A9EB-3CF6-4F17-98D2-93BE2544F123}" destId="{0FF7897D-FB90-41A8-BA72-ABA1404D0300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2AC3DF-B615-4F0A-82BD-1159F4530D03}">
      <dsp:nvSpPr>
        <dsp:cNvPr id="0" name=""/>
        <dsp:cNvSpPr/>
      </dsp:nvSpPr>
      <dsp:spPr>
        <a:xfrm>
          <a:off x="319985" y="863"/>
          <a:ext cx="6047075" cy="518959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Excel’s Golden Rule:</a:t>
          </a:r>
        </a:p>
      </dsp:txBody>
      <dsp:txXfrm>
        <a:off x="335185" y="16063"/>
        <a:ext cx="6016675" cy="488559"/>
      </dsp:txXfrm>
    </dsp:sp>
    <dsp:sp modelId="{5680A75F-86DE-4DE3-A9D9-F1ECAE05324F}">
      <dsp:nvSpPr>
        <dsp:cNvPr id="0" name=""/>
        <dsp:cNvSpPr/>
      </dsp:nvSpPr>
      <dsp:spPr>
        <a:xfrm>
          <a:off x="319985" y="613234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A4D43A-DA37-4935-885E-EBEEDEBF2AB9}">
      <dsp:nvSpPr>
        <dsp:cNvPr id="0" name=""/>
        <dsp:cNvSpPr/>
      </dsp:nvSpPr>
      <dsp:spPr>
        <a:xfrm>
          <a:off x="870082" y="613234"/>
          <a:ext cx="5496979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If a formula input can change, put it into a cell and refer to it in the formula with a cell reference.</a:t>
          </a:r>
        </a:p>
      </dsp:txBody>
      <dsp:txXfrm>
        <a:off x="895420" y="638572"/>
        <a:ext cx="5446303" cy="468283"/>
      </dsp:txXfrm>
    </dsp:sp>
    <dsp:sp modelId="{5EE670C8-2AE3-42C8-852F-EEE30C93025E}">
      <dsp:nvSpPr>
        <dsp:cNvPr id="0" name=""/>
        <dsp:cNvSpPr/>
      </dsp:nvSpPr>
      <dsp:spPr>
        <a:xfrm>
          <a:off x="319985" y="1194468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9A194F-7E57-4D3B-BF33-D7633EFC438F}">
      <dsp:nvSpPr>
        <dsp:cNvPr id="0" name=""/>
        <dsp:cNvSpPr/>
      </dsp:nvSpPr>
      <dsp:spPr>
        <a:xfrm>
          <a:off x="870082" y="1194468"/>
          <a:ext cx="5496979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If a formula input will not change, you can type it into a formula.</a:t>
          </a:r>
        </a:p>
      </dsp:txBody>
      <dsp:txXfrm>
        <a:off x="895420" y="1219806"/>
        <a:ext cx="5446303" cy="468283"/>
      </dsp:txXfrm>
    </dsp:sp>
    <dsp:sp modelId="{2138CA67-92BA-43F2-B748-75A0EB34C5C0}">
      <dsp:nvSpPr>
        <dsp:cNvPr id="0" name=""/>
        <dsp:cNvSpPr/>
      </dsp:nvSpPr>
      <dsp:spPr>
        <a:xfrm>
          <a:off x="319985" y="1775702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F7897D-FB90-41A8-BA72-ABA1404D0300}">
      <dsp:nvSpPr>
        <dsp:cNvPr id="0" name=""/>
        <dsp:cNvSpPr/>
      </dsp:nvSpPr>
      <dsp:spPr>
        <a:xfrm>
          <a:off x="870082" y="1775702"/>
          <a:ext cx="5496979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Always label your formula inputs so that the formula input can be clearly understood by any user of the spreadsheet solution; by doing this we properly “document the spreadsheet solution (model).</a:t>
          </a:r>
        </a:p>
      </dsp:txBody>
      <dsp:txXfrm>
        <a:off x="895420" y="1801040"/>
        <a:ext cx="5446303" cy="468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excelisfun</dc:creator>
  <cp:keywords/>
  <dc:description/>
  <cp:lastModifiedBy>Girvin, Michael</cp:lastModifiedBy>
  <cp:revision>14</cp:revision>
  <cp:lastPrinted>2015-04-01T17:34:00Z</cp:lastPrinted>
  <dcterms:created xsi:type="dcterms:W3CDTF">2015-04-01T16:58:00Z</dcterms:created>
  <dcterms:modified xsi:type="dcterms:W3CDTF">2016-03-30T16:29:00Z</dcterms:modified>
</cp:coreProperties>
</file>